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FA8" w:rsidRPr="00DF3ED3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F3ED3">
        <w:rPr>
          <w:rFonts w:ascii="Arial" w:hAnsi="Arial" w:cs="Arial"/>
          <w:b/>
          <w:bCs/>
          <w:sz w:val="32"/>
          <w:szCs w:val="32"/>
          <w:u w:val="single"/>
        </w:rPr>
        <w:t xml:space="preserve">Lei </w:t>
      </w:r>
      <w:r w:rsidR="00236C26">
        <w:rPr>
          <w:rFonts w:ascii="Arial" w:hAnsi="Arial" w:cs="Arial"/>
          <w:b/>
          <w:bCs/>
          <w:sz w:val="32"/>
          <w:szCs w:val="32"/>
          <w:u w:val="single"/>
        </w:rPr>
        <w:t>Nº 2.129</w:t>
      </w:r>
      <w:r w:rsidR="00DF3ED3" w:rsidRPr="00DF3ED3">
        <w:rPr>
          <w:rFonts w:ascii="Arial" w:hAnsi="Arial" w:cs="Arial"/>
          <w:b/>
          <w:bCs/>
          <w:sz w:val="32"/>
          <w:szCs w:val="32"/>
          <w:u w:val="single"/>
        </w:rPr>
        <w:t xml:space="preserve"> / 2</w:t>
      </w:r>
      <w:r w:rsidRPr="00DF3ED3">
        <w:rPr>
          <w:rFonts w:ascii="Arial" w:hAnsi="Arial" w:cs="Arial"/>
          <w:b/>
          <w:bCs/>
          <w:sz w:val="32"/>
          <w:szCs w:val="32"/>
          <w:u w:val="single"/>
        </w:rPr>
        <w:t>017</w:t>
      </w:r>
    </w:p>
    <w:p w:rsidR="00E25FA8" w:rsidRPr="00DF3ED3" w:rsidRDefault="00E25FA8" w:rsidP="00E25FA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236C26" w:rsidRPr="00236C26" w:rsidRDefault="00236C26" w:rsidP="00236C26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hAnsi="Arial" w:cs="Arial"/>
          <w:bCs/>
          <w:iCs/>
          <w:sz w:val="24"/>
          <w:szCs w:val="24"/>
        </w:rPr>
      </w:pPr>
      <w:r w:rsidRPr="00236C26">
        <w:rPr>
          <w:rFonts w:ascii="Arial" w:hAnsi="Arial" w:cs="Arial"/>
          <w:bCs/>
          <w:iCs/>
          <w:sz w:val="24"/>
          <w:szCs w:val="24"/>
        </w:rPr>
        <w:t>Fixa preço público mínimo de imóveis e autoriza o Poder Executivo a realizar concessão de uso, na forma que especifica.</w:t>
      </w:r>
    </w:p>
    <w:p w:rsidR="00236C26" w:rsidRPr="00DF3ED3" w:rsidRDefault="00236C26" w:rsidP="00236C2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236C26" w:rsidRPr="003B7635" w:rsidRDefault="00236C26" w:rsidP="00236C26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sz w:val="26"/>
          <w:szCs w:val="26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236C26" w:rsidRPr="003B7635" w:rsidRDefault="00236C26" w:rsidP="00236C26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236C26" w:rsidRPr="003B7635" w:rsidRDefault="00236C26" w:rsidP="00236C26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b/>
          <w:sz w:val="26"/>
          <w:szCs w:val="26"/>
        </w:rPr>
        <w:t>Art. 1° -</w:t>
      </w:r>
      <w:r w:rsidRPr="003B7635">
        <w:rPr>
          <w:rFonts w:ascii="Arial" w:hAnsi="Arial" w:cs="Arial"/>
          <w:sz w:val="26"/>
          <w:szCs w:val="26"/>
        </w:rPr>
        <w:t xml:space="preserve">  Fica o Poder Executivo autorizado a conceder o uso dos seguintes imóveis municipais:</w:t>
      </w:r>
    </w:p>
    <w:p w:rsidR="00236C26" w:rsidRPr="003B7635" w:rsidRDefault="00236C26" w:rsidP="00236C26">
      <w:pPr>
        <w:spacing w:line="240" w:lineRule="auto"/>
        <w:ind w:firstLine="851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sz w:val="26"/>
          <w:szCs w:val="26"/>
        </w:rPr>
        <w:t>I – Quiosque de informações turísticas – Praça Santo Antônio;</w:t>
      </w:r>
    </w:p>
    <w:p w:rsidR="00236C26" w:rsidRPr="003B7635" w:rsidRDefault="00236C26" w:rsidP="00236C26">
      <w:pPr>
        <w:spacing w:line="240" w:lineRule="auto"/>
        <w:ind w:firstLine="851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sz w:val="26"/>
          <w:szCs w:val="26"/>
        </w:rPr>
        <w:t>II – Bar, Mercearia, Lanchonete, cozinha e guichê de passagens – Terminal Rodoviário;</w:t>
      </w:r>
    </w:p>
    <w:p w:rsidR="00236C26" w:rsidRPr="003B7635" w:rsidRDefault="00236C26" w:rsidP="00236C26">
      <w:pPr>
        <w:spacing w:line="240" w:lineRule="auto"/>
        <w:ind w:firstLine="851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sz w:val="26"/>
          <w:szCs w:val="26"/>
        </w:rPr>
        <w:t>III – Bar e lanchonete – Estádio Municipal.</w:t>
      </w:r>
    </w:p>
    <w:p w:rsidR="00236C26" w:rsidRPr="003B7635" w:rsidRDefault="00236C26" w:rsidP="00236C26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236C26" w:rsidRPr="003B7635" w:rsidRDefault="00236C26" w:rsidP="00236C26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b/>
          <w:sz w:val="26"/>
          <w:szCs w:val="26"/>
        </w:rPr>
        <w:t>Art. 2º -</w:t>
      </w:r>
      <w:r w:rsidRPr="003B7635">
        <w:rPr>
          <w:rFonts w:ascii="Arial" w:hAnsi="Arial" w:cs="Arial"/>
          <w:sz w:val="26"/>
          <w:szCs w:val="26"/>
        </w:rPr>
        <w:t xml:space="preserve">  Ficam fixados preços públicos mensais pela utilização dos imóveis, na forma abaixo:</w:t>
      </w:r>
    </w:p>
    <w:p w:rsidR="00236C26" w:rsidRPr="003B7635" w:rsidRDefault="00236C26" w:rsidP="00236C26">
      <w:pPr>
        <w:spacing w:line="240" w:lineRule="auto"/>
        <w:ind w:firstLine="851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sz w:val="26"/>
          <w:szCs w:val="26"/>
        </w:rPr>
        <w:t>I – Quiosque de informações turísticas – Praça Santo Antônio – R$ 400,00 (quatrocentos reais mensais);</w:t>
      </w:r>
    </w:p>
    <w:p w:rsidR="00236C26" w:rsidRPr="003B7635" w:rsidRDefault="00236C26" w:rsidP="00236C26">
      <w:pPr>
        <w:spacing w:line="240" w:lineRule="auto"/>
        <w:ind w:firstLine="851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sz w:val="26"/>
          <w:szCs w:val="26"/>
        </w:rPr>
        <w:t>II – Bar, Mercearia, Lanchonete, cozinha e guichê de passagens – Terminal Rodoviário – R$ 900,00 (novecentos reais mensais);</w:t>
      </w:r>
    </w:p>
    <w:p w:rsidR="00236C26" w:rsidRPr="003B7635" w:rsidRDefault="00236C26" w:rsidP="00236C26">
      <w:pPr>
        <w:spacing w:line="240" w:lineRule="auto"/>
        <w:ind w:firstLine="851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sz w:val="26"/>
          <w:szCs w:val="26"/>
        </w:rPr>
        <w:t>III – Bar e lanchonete – Estádio Municipal – R$ 250,00 (duzentos e cinquenta reais mensais).</w:t>
      </w:r>
    </w:p>
    <w:p w:rsidR="00236C26" w:rsidRPr="003B7635" w:rsidRDefault="00236C26" w:rsidP="00236C26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236C26" w:rsidRPr="003B7635" w:rsidRDefault="00236C26" w:rsidP="00236C26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b/>
          <w:sz w:val="26"/>
          <w:szCs w:val="26"/>
        </w:rPr>
        <w:t>Art. 3º -</w:t>
      </w:r>
      <w:r w:rsidRPr="003B7635">
        <w:rPr>
          <w:rFonts w:ascii="Arial" w:hAnsi="Arial" w:cs="Arial"/>
          <w:sz w:val="26"/>
          <w:szCs w:val="26"/>
        </w:rPr>
        <w:t xml:space="preserve"> Os imóveis descritos nos incisos I e II do artigo 1º poderão ser concedidos mediante licitação, na modalidade concorrência.</w:t>
      </w:r>
    </w:p>
    <w:p w:rsidR="00236C26" w:rsidRPr="003B7635" w:rsidRDefault="00236C26" w:rsidP="00236C26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236C26" w:rsidRPr="003B7635" w:rsidRDefault="00236C26" w:rsidP="00236C26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b/>
          <w:sz w:val="26"/>
          <w:szCs w:val="26"/>
        </w:rPr>
        <w:t>Art. 4º -</w:t>
      </w:r>
      <w:r w:rsidRPr="003B7635">
        <w:rPr>
          <w:rFonts w:ascii="Arial" w:hAnsi="Arial" w:cs="Arial"/>
          <w:sz w:val="26"/>
          <w:szCs w:val="26"/>
        </w:rPr>
        <w:t xml:space="preserve"> Os imóve</w:t>
      </w:r>
      <w:r>
        <w:rPr>
          <w:rFonts w:ascii="Arial" w:hAnsi="Arial" w:cs="Arial"/>
          <w:sz w:val="26"/>
          <w:szCs w:val="26"/>
        </w:rPr>
        <w:t>is</w:t>
      </w:r>
      <w:r w:rsidRPr="003B7635">
        <w:rPr>
          <w:rFonts w:ascii="Arial" w:hAnsi="Arial" w:cs="Arial"/>
          <w:sz w:val="26"/>
          <w:szCs w:val="26"/>
        </w:rPr>
        <w:t xml:space="preserve"> descritos nos incisos I e III do artigo 1º poderão ser concedidos mediante parceria, sem o pagamento de preço público, nos termos da Lei nº 13.019, de 31 de julho de 2014.</w:t>
      </w:r>
    </w:p>
    <w:p w:rsidR="00236C26" w:rsidRPr="003B7635" w:rsidRDefault="00236C26" w:rsidP="00236C26">
      <w:pPr>
        <w:spacing w:line="240" w:lineRule="auto"/>
        <w:ind w:firstLine="851"/>
        <w:contextualSpacing/>
        <w:jc w:val="both"/>
        <w:rPr>
          <w:rFonts w:ascii="Arial" w:hAnsi="Arial" w:cs="Arial"/>
          <w:sz w:val="26"/>
          <w:szCs w:val="26"/>
        </w:rPr>
      </w:pPr>
    </w:p>
    <w:p w:rsidR="00236C26" w:rsidRPr="003B7635" w:rsidRDefault="00236C26" w:rsidP="00236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3B7635">
        <w:rPr>
          <w:rFonts w:ascii="Arial" w:hAnsi="Arial" w:cs="Arial"/>
          <w:b/>
          <w:sz w:val="26"/>
          <w:szCs w:val="26"/>
        </w:rPr>
        <w:t xml:space="preserve">Art. 5º - </w:t>
      </w:r>
      <w:r w:rsidRPr="003B7635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236C26" w:rsidRPr="00DF3ED3" w:rsidRDefault="00236C26" w:rsidP="00236C2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36C26" w:rsidRDefault="00236C26" w:rsidP="00236C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Cris</w:t>
      </w:r>
      <w:r w:rsidRPr="00236C26">
        <w:rPr>
          <w:rFonts w:ascii="Arial" w:eastAsia="Times New Roman" w:hAnsi="Arial" w:cs="Arial"/>
          <w:sz w:val="24"/>
          <w:szCs w:val="24"/>
          <w:lang w:eastAsia="pt-BR"/>
        </w:rPr>
        <w:t>t</w:t>
      </w:r>
      <w:r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Pr="00236C26">
        <w:rPr>
          <w:rFonts w:ascii="Arial" w:eastAsia="Times New Roman" w:hAnsi="Arial" w:cs="Arial"/>
          <w:sz w:val="24"/>
          <w:szCs w:val="24"/>
          <w:lang w:eastAsia="pt-BR"/>
        </w:rPr>
        <w:t xml:space="preserve">na, </w:t>
      </w:r>
      <w:r w:rsidRPr="00236C26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236C26">
        <w:rPr>
          <w:rFonts w:ascii="Arial" w:eastAsia="Times New Roman" w:hAnsi="Arial" w:cs="Arial"/>
          <w:sz w:val="24"/>
          <w:szCs w:val="24"/>
          <w:lang w:eastAsia="pt-BR"/>
        </w:rPr>
        <w:t>6</w:t>
      </w:r>
      <w:bookmarkStart w:id="0" w:name="_GoBack"/>
      <w:bookmarkEnd w:id="0"/>
      <w:r w:rsidRPr="00236C26">
        <w:rPr>
          <w:rFonts w:ascii="Arial" w:eastAsia="Times New Roman" w:hAnsi="Arial" w:cs="Arial"/>
          <w:sz w:val="24"/>
          <w:szCs w:val="24"/>
          <w:lang w:eastAsia="pt-BR"/>
        </w:rPr>
        <w:t xml:space="preserve"> de outubr</w:t>
      </w:r>
      <w:r>
        <w:rPr>
          <w:rFonts w:ascii="Arial" w:eastAsia="Times New Roman" w:hAnsi="Arial" w:cs="Arial"/>
          <w:sz w:val="24"/>
          <w:szCs w:val="24"/>
          <w:lang w:eastAsia="pt-BR"/>
        </w:rPr>
        <w:t>o de 2</w:t>
      </w:r>
      <w:r w:rsidRPr="00236C26">
        <w:rPr>
          <w:rFonts w:ascii="Arial" w:eastAsia="Times New Roman" w:hAnsi="Arial" w:cs="Arial"/>
          <w:sz w:val="24"/>
          <w:szCs w:val="24"/>
          <w:lang w:eastAsia="pt-BR"/>
        </w:rPr>
        <w:t>017.</w:t>
      </w:r>
    </w:p>
    <w:p w:rsidR="00236C26" w:rsidRDefault="00236C26" w:rsidP="00236C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6C26" w:rsidRDefault="00236C26" w:rsidP="00236C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236C26" w:rsidRPr="00236C26" w:rsidRDefault="00236C26" w:rsidP="00236C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36C26">
        <w:rPr>
          <w:rFonts w:ascii="Arial" w:eastAsia="Times New Roman" w:hAnsi="Arial" w:cs="Arial"/>
          <w:b/>
          <w:sz w:val="24"/>
          <w:szCs w:val="24"/>
          <w:lang w:eastAsia="pt-BR"/>
        </w:rPr>
        <w:t>Ricardo Pereira Azevedo</w:t>
      </w:r>
    </w:p>
    <w:p w:rsidR="00236C26" w:rsidRPr="00236C26" w:rsidRDefault="00236C26" w:rsidP="00236C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36C26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236C26" w:rsidRDefault="00236C26" w:rsidP="00236C2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4"/>
          <w:lang w:eastAsia="pt-BR"/>
        </w:rPr>
      </w:pPr>
    </w:p>
    <w:p w:rsidR="00236C26" w:rsidRPr="00ED3F8E" w:rsidRDefault="00236C26" w:rsidP="00236C2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36C26" w:rsidRPr="00ED3F8E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EF" w:rsidRDefault="00A934EF" w:rsidP="0016756F">
      <w:pPr>
        <w:spacing w:after="0" w:line="240" w:lineRule="auto"/>
      </w:pPr>
      <w:r>
        <w:separator/>
      </w:r>
    </w:p>
  </w:endnote>
  <w:endnote w:type="continuationSeparator" w:id="0">
    <w:p w:rsidR="00A934EF" w:rsidRDefault="00A934EF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EF" w:rsidRDefault="00A934EF" w:rsidP="0016756F">
      <w:pPr>
        <w:spacing w:after="0" w:line="240" w:lineRule="auto"/>
      </w:pPr>
      <w:r>
        <w:separator/>
      </w:r>
    </w:p>
  </w:footnote>
  <w:footnote w:type="continuationSeparator" w:id="0">
    <w:p w:rsidR="00A934EF" w:rsidRDefault="00A934EF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114E19"/>
    <w:rsid w:val="0016756F"/>
    <w:rsid w:val="001A6C92"/>
    <w:rsid w:val="001C183E"/>
    <w:rsid w:val="001E4A1A"/>
    <w:rsid w:val="00236C26"/>
    <w:rsid w:val="00275E7E"/>
    <w:rsid w:val="002A236D"/>
    <w:rsid w:val="002E5AD9"/>
    <w:rsid w:val="002F0A3E"/>
    <w:rsid w:val="00306475"/>
    <w:rsid w:val="003114C3"/>
    <w:rsid w:val="00321CC1"/>
    <w:rsid w:val="00334FC4"/>
    <w:rsid w:val="00350F34"/>
    <w:rsid w:val="003C4EDE"/>
    <w:rsid w:val="00460CC8"/>
    <w:rsid w:val="004F2743"/>
    <w:rsid w:val="00520BA0"/>
    <w:rsid w:val="00592575"/>
    <w:rsid w:val="006137B2"/>
    <w:rsid w:val="006232F8"/>
    <w:rsid w:val="00646C4B"/>
    <w:rsid w:val="0066535C"/>
    <w:rsid w:val="006728BE"/>
    <w:rsid w:val="00676CDE"/>
    <w:rsid w:val="006A72A1"/>
    <w:rsid w:val="0085174D"/>
    <w:rsid w:val="008E7F70"/>
    <w:rsid w:val="008F4292"/>
    <w:rsid w:val="00947BC9"/>
    <w:rsid w:val="00965EED"/>
    <w:rsid w:val="00A0367C"/>
    <w:rsid w:val="00A179CF"/>
    <w:rsid w:val="00A37B56"/>
    <w:rsid w:val="00A81518"/>
    <w:rsid w:val="00A934EF"/>
    <w:rsid w:val="00AB4F75"/>
    <w:rsid w:val="00AB654E"/>
    <w:rsid w:val="00AE6F69"/>
    <w:rsid w:val="00AF5AAC"/>
    <w:rsid w:val="00B662DF"/>
    <w:rsid w:val="00B766C2"/>
    <w:rsid w:val="00BA15B5"/>
    <w:rsid w:val="00C300E3"/>
    <w:rsid w:val="00CB5407"/>
    <w:rsid w:val="00CF3BAD"/>
    <w:rsid w:val="00D07FCA"/>
    <w:rsid w:val="00D47A0C"/>
    <w:rsid w:val="00DB1747"/>
    <w:rsid w:val="00DE3502"/>
    <w:rsid w:val="00DF09ED"/>
    <w:rsid w:val="00DF3ED3"/>
    <w:rsid w:val="00E10BBC"/>
    <w:rsid w:val="00E16D7B"/>
    <w:rsid w:val="00E25FA8"/>
    <w:rsid w:val="00E77C4E"/>
    <w:rsid w:val="00EA628C"/>
    <w:rsid w:val="00F25BEE"/>
    <w:rsid w:val="00F278DB"/>
    <w:rsid w:val="00F4707C"/>
    <w:rsid w:val="00F50E9B"/>
    <w:rsid w:val="00F51B01"/>
    <w:rsid w:val="00F613E7"/>
    <w:rsid w:val="00F63656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2017-07-13T17:48:00Z</cp:lastPrinted>
  <dcterms:created xsi:type="dcterms:W3CDTF">2017-10-06T11:22:00Z</dcterms:created>
  <dcterms:modified xsi:type="dcterms:W3CDTF">2017-10-06T11:22:00Z</dcterms:modified>
</cp:coreProperties>
</file>